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94A57" w14:textId="2AD0EC15" w:rsidR="006718BD" w:rsidRDefault="006718BD">
      <w:r>
        <w:rPr>
          <w:rFonts w:ascii="Titillium Web" w:hAnsi="Titillium Web"/>
          <w:color w:val="333333"/>
          <w:sz w:val="27"/>
          <w:szCs w:val="27"/>
          <w:shd w:val="clear" w:color="auto" w:fill="FFFFFF"/>
        </w:rPr>
        <w:t>Le istituzioni scolastiche potranno organizzare, nella loro autonomia, momenti di riflessione e di approfondimento sul significato del discorso e sull'affermazione della cultura del rispetto.</w:t>
      </w:r>
    </w:p>
    <w:sectPr w:rsidR="006718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BD"/>
    <w:rsid w:val="0067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9DE2"/>
  <w15:chartTrackingRefBased/>
  <w15:docId w15:val="{3B1EAC00-74DF-46E2-AA25-DFD7C6E9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Serpelloni</dc:creator>
  <cp:keywords/>
  <dc:description/>
  <cp:lastModifiedBy>Marco Serpelloni</cp:lastModifiedBy>
  <cp:revision>1</cp:revision>
  <dcterms:created xsi:type="dcterms:W3CDTF">2023-12-12T08:03:00Z</dcterms:created>
  <dcterms:modified xsi:type="dcterms:W3CDTF">2023-12-12T08:04:00Z</dcterms:modified>
</cp:coreProperties>
</file>